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60" w:line="276" w:lineRule="auto"/>
        <w:jc w:val="center"/>
        <w:rPr>
          <w:rFonts w:ascii="Times New Roman" w:cs="Times New Roman" w:eastAsia="Times New Roman" w:hAnsi="Times New Roman"/>
          <w:b w:val="1"/>
          <w:bCs w:val="1"/>
          <w:smallCaps w:val="1"/>
          <w:color w:val="000000"/>
          <w:sz w:val="24"/>
          <w:szCs w:val="24"/>
        </w:rPr>
      </w:pPr>
      <w:r w:rsidDel="00000000" w:rsidR="00000000" w:rsidRPr="00000000">
        <w:rPr>
          <w:rFonts w:ascii="Times New Roman" w:cs="Times New Roman" w:eastAsia="Times New Roman" w:hAnsi="Times New Roman"/>
          <w:b w:val="1"/>
          <w:bCs w:val="1"/>
          <w:smallCaps w:val="1"/>
          <w:color w:val="000000"/>
          <w:sz w:val="24"/>
          <w:szCs w:val="24"/>
          <w:rtl w:val="0"/>
        </w:rPr>
        <w:t xml:space="preserve">PROYECTO DE LEY</w:t>
      </w:r>
    </w:p>
    <w:p w:rsidR="00000000" w:rsidDel="00000000" w:rsidP="00000000" w:rsidRDefault="00000000" w:rsidRPr="00000000" w14:paraId="00000003">
      <w:pPr>
        <w:spacing w:after="40" w:line="27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Régimen de Protección del Ingreso de Agentes del Sector Público Provincial</w:t>
      </w:r>
    </w:p>
    <w:p w:rsidR="00000000" w:rsidDel="00000000" w:rsidP="00000000" w:rsidRDefault="00000000" w:rsidRPr="00000000" w14:paraId="00000004">
      <w:pPr>
        <w:spacing w:after="80" w:before="80" w:line="276"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5">
      <w:pPr>
        <w:spacing w:after="80" w:before="80" w:line="27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EL SENADO Y LA CÁMARA DE DIPUTADOS DE LA PROVINCIA DE</w:t>
      </w:r>
    </w:p>
    <w:p w:rsidR="00000000" w:rsidDel="00000000" w:rsidP="00000000" w:rsidRDefault="00000000" w:rsidRPr="00000000" w14:paraId="00000006">
      <w:pPr>
        <w:spacing w:after="80" w:before="80" w:line="27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SAN LUIS SANCIONAN CON FUERZA DE LEY</w:t>
      </w:r>
    </w:p>
    <w:p w:rsidR="00000000" w:rsidDel="00000000" w:rsidP="00000000" w:rsidRDefault="00000000" w:rsidRPr="00000000" w14:paraId="00000007">
      <w:pPr>
        <w:spacing w:after="80" w:before="8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40" w:before="4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TÍTULO I - DISPOSICIONES GENERALES</w:t>
      </w:r>
    </w:p>
    <w:p w:rsidR="00000000" w:rsidDel="00000000" w:rsidP="00000000" w:rsidRDefault="00000000" w:rsidRPr="00000000" w14:paraId="00000009">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 – </w:t>
      </w:r>
      <w:r w:rsidDel="00000000" w:rsidR="00000000" w:rsidRPr="00000000">
        <w:rPr>
          <w:rFonts w:ascii="Times New Roman" w:cs="Times New Roman" w:eastAsia="Times New Roman" w:hAnsi="Times New Roman"/>
          <w:sz w:val="24"/>
          <w:szCs w:val="24"/>
          <w:rtl w:val="0"/>
        </w:rPr>
        <w:t xml:space="preserve">Objeto. La presente ley establece un régimen de protección del ingreso y mediación extrajudicial para los agentes del sector público provincial de San Luis empleados de planta permanente, contratados con relación de dependencia y personal de organismos descentralizados, entes autárquicos y para los beneficiarios del Plan de Inclusión Social que se encuentren en situación de sobreendeudamiento. La intervención judicial no es creada por esta ley: queda reservada a los mecanismos ya previstos en el Código Procesal Civil y Comercial de la Provincia (Ley N° VI-0150-2013) y en la Ley de Mediación Judicial (Ley N° IV-0700-2009), a los que el beneficiario podrá acceder una vez agotada la instancia extrajudicial del presente régimen.</w:t>
      </w:r>
    </w:p>
    <w:p w:rsidR="00000000" w:rsidDel="00000000" w:rsidP="00000000" w:rsidRDefault="00000000" w:rsidRPr="00000000" w14:paraId="0000000A">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 – </w:t>
      </w:r>
      <w:r w:rsidDel="00000000" w:rsidR="00000000" w:rsidRPr="00000000">
        <w:rPr>
          <w:rFonts w:ascii="Times New Roman" w:cs="Times New Roman" w:eastAsia="Times New Roman" w:hAnsi="Times New Roman"/>
          <w:sz w:val="24"/>
          <w:szCs w:val="24"/>
          <w:rtl w:val="0"/>
        </w:rPr>
        <w:t xml:space="preserve">Principios rectores. La aplicación de esta ley se rige por los principios de buena fe, protección del ingreso del agente público, rehabilitación patrimonial, accesibilidad, celeridad, gratuidad para quienes perciban ingresos iguales o inferiores a cuatro (4) Salarios Mínimos Vitales y Móviles, y utilización eficiente de las estructuras institucionales existentes sin generación de nuevas erogaciones públicas.</w:t>
      </w:r>
    </w:p>
    <w:p w:rsidR="00000000" w:rsidDel="00000000" w:rsidP="00000000" w:rsidRDefault="00000000" w:rsidRPr="00000000" w14:paraId="0000000B">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3°. – </w:t>
      </w:r>
      <w:r w:rsidDel="00000000" w:rsidR="00000000" w:rsidRPr="00000000">
        <w:rPr>
          <w:rFonts w:ascii="Times New Roman" w:cs="Times New Roman" w:eastAsia="Times New Roman" w:hAnsi="Times New Roman"/>
          <w:sz w:val="24"/>
          <w:szCs w:val="24"/>
          <w:rtl w:val="0"/>
        </w:rPr>
        <w:t xml:space="preserve">Ámbito de aplicación. Podrán acogerse al presente régimen:</w:t>
      </w:r>
    </w:p>
    <w:p w:rsidR="00000000" w:rsidDel="00000000" w:rsidP="00000000" w:rsidRDefault="00000000" w:rsidRPr="00000000" w14:paraId="0000000C">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Empleados activos: agentes del sector público provincial en situación de actividad o de excedencia con derecho a retorno, incluyendo personal de planta permanente, contratados con relación de dependencia, y personal de organismos descentralizados y entes autárquicos provinciales.</w:t>
      </w:r>
    </w:p>
    <w:p w:rsidR="00000000" w:rsidDel="00000000" w:rsidP="00000000" w:rsidRDefault="00000000" w:rsidRPr="00000000" w14:paraId="0000000D">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Beneficiarios del Plan de Inclusión Social: quienes perciban activamente la transferencia mensual del Plan de Inclusión Social de la Provincia de San Luis.</w:t>
      </w:r>
    </w:p>
    <w:p w:rsidR="00000000" w:rsidDel="00000000" w:rsidP="00000000" w:rsidRDefault="00000000" w:rsidRPr="00000000" w14:paraId="0000000E">
      <w:pPr>
        <w:spacing w:after="80" w:before="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ambas categorías deberán concurrir: (i) dos o más deudas vencidas con dos o más acreedores distintos, con mora mínima de noventa (90) días; (ii) pasivo total superior al equivalente a tres (3) ingresos mensuales brutos del beneficiario; y (iii) declaración jurada de buena fe acreditando ausencia de fraude en los doce (12) meses previos.</w:t>
      </w:r>
    </w:p>
    <w:p w:rsidR="00000000" w:rsidDel="00000000" w:rsidP="00000000" w:rsidRDefault="00000000" w:rsidRPr="00000000" w14:paraId="0000000F">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4°. – </w:t>
      </w:r>
      <w:r w:rsidDel="00000000" w:rsidR="00000000" w:rsidRPr="00000000">
        <w:rPr>
          <w:rFonts w:ascii="Times New Roman" w:cs="Times New Roman" w:eastAsia="Times New Roman" w:hAnsi="Times New Roman"/>
          <w:sz w:val="24"/>
          <w:szCs w:val="24"/>
          <w:rtl w:val="0"/>
        </w:rPr>
        <w:t xml:space="preserve">Exclusiones. Quedan excluidas del régimen: las deudas alimentarias y de manutención; las obligaciones emanadas de condenas penales o contravencionales; las deudas laborales con trabajadores a cargo del beneficiario; y las contraídas mediante fraude o dolo acreditado judicialmente.</w:t>
      </w:r>
    </w:p>
    <w:p w:rsidR="00000000" w:rsidDel="00000000" w:rsidP="00000000" w:rsidRDefault="00000000" w:rsidRPr="00000000" w14:paraId="00000010">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40" w:before="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TÍTULO II-PROTECCIÓN DEL INGRESO EN SEDE ADMINISTRATIVA</w:t>
      </w:r>
      <w:r w:rsidDel="00000000" w:rsidR="00000000" w:rsidRPr="00000000">
        <w:rPr>
          <w:rtl w:val="0"/>
        </w:rPr>
      </w:r>
    </w:p>
    <w:p w:rsidR="00000000" w:rsidDel="00000000" w:rsidP="00000000" w:rsidRDefault="00000000" w:rsidRPr="00000000" w14:paraId="00000012">
      <w:pPr>
        <w:spacing w:after="40" w:before="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5°. – </w:t>
      </w:r>
      <w:r w:rsidDel="00000000" w:rsidR="00000000" w:rsidRPr="00000000">
        <w:rPr>
          <w:rFonts w:ascii="Times New Roman" w:cs="Times New Roman" w:eastAsia="Times New Roman" w:hAnsi="Times New Roman"/>
          <w:sz w:val="24"/>
          <w:szCs w:val="24"/>
          <w:rtl w:val="0"/>
        </w:rPr>
        <w:t xml:space="preserve">Autoridad de Aplicación. Será Autoridad de Aplicación el Ministerio de Hacienda e Infraestructura Pública a través de su Dirección de Capital Humano para los empleados activos del sector público provincial, y el Ministerio de Desarrollo Humano para los beneficiarios del Plan de Inclusión Social. Ambos ministerios suscribirán el protocolo de coordinación previsto en el artículo 20°.</w:t>
      </w:r>
    </w:p>
    <w:p w:rsidR="00000000" w:rsidDel="00000000" w:rsidP="00000000" w:rsidRDefault="00000000" w:rsidRPr="00000000" w14:paraId="00000014">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6°. – </w:t>
      </w:r>
      <w:r w:rsidDel="00000000" w:rsidR="00000000" w:rsidRPr="00000000">
        <w:rPr>
          <w:rFonts w:ascii="Times New Roman" w:cs="Times New Roman" w:eastAsia="Times New Roman" w:hAnsi="Times New Roman"/>
          <w:sz w:val="24"/>
          <w:szCs w:val="24"/>
          <w:rtl w:val="0"/>
        </w:rPr>
        <w:t xml:space="preserve">Inicio del procedimiento. El beneficiario iniciará el trámite ante la Autoridad de Aplicación que corresponda a su categoría, acompañando:</w:t>
      </w:r>
    </w:p>
    <w:p w:rsidR="00000000" w:rsidDel="00000000" w:rsidP="00000000" w:rsidRDefault="00000000" w:rsidRPr="00000000" w14:paraId="00000015">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Declaración jurada patrimonial activos, pasivos, ingresos y gastos esenciales.</w:t>
      </w:r>
    </w:p>
    <w:p w:rsidR="00000000" w:rsidDel="00000000" w:rsidP="00000000" w:rsidRDefault="00000000" w:rsidRPr="00000000" w14:paraId="00000016">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Nómina de acreedores con montos, vencimientos y datos de contacto.</w:t>
      </w:r>
    </w:p>
    <w:p w:rsidR="00000000" w:rsidDel="00000000" w:rsidP="00000000" w:rsidRDefault="00000000" w:rsidRPr="00000000" w14:paraId="00000017">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Últimos tres (3) recibos de haberes o comprobantes de transferencia del Plan de Inclusión Social, según corresponda.</w:t>
      </w:r>
    </w:p>
    <w:p w:rsidR="00000000" w:rsidDel="00000000" w:rsidP="00000000" w:rsidRDefault="00000000" w:rsidRPr="00000000" w14:paraId="00000018">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Constancia de empleo público o de inclusión en el Plan, expedida por el organismo correspondiente.</w:t>
      </w:r>
    </w:p>
    <w:p w:rsidR="00000000" w:rsidDel="00000000" w:rsidP="00000000" w:rsidRDefault="00000000" w:rsidRPr="00000000" w14:paraId="00000019">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Declaración jurada de buena fe conforme el artículo 3°.</w:t>
      </w:r>
    </w:p>
    <w:p w:rsidR="00000000" w:rsidDel="00000000" w:rsidP="00000000" w:rsidRDefault="00000000" w:rsidRPr="00000000" w14:paraId="0000001A">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7°. – </w:t>
      </w:r>
      <w:r w:rsidDel="00000000" w:rsidR="00000000" w:rsidRPr="00000000">
        <w:rPr>
          <w:rFonts w:ascii="Times New Roman" w:cs="Times New Roman" w:eastAsia="Times New Roman" w:hAnsi="Times New Roman"/>
          <w:sz w:val="24"/>
          <w:szCs w:val="24"/>
          <w:rtl w:val="0"/>
        </w:rPr>
        <w:t xml:space="preserve">Suspensión de descuentos sobre haberes provinciales. Admitida la solicitud, el Estado Provincial suspenderá en forma inmediata los descuentos directos sobre el haber o transferencia del beneficiario correspondientes a los préstamos declarados en el régimen. Esta medida: (a) opera exclusivamente sobre los ingresos que administra el propio Estado Provincial como empleador o pagador del Plan de Inclusión Social; (b) no afecta las acciones que los acreedores puedan ejercer ante cualquier jurisdicción; y (c) se mantiene durante toda la tramitación del régimen y cesa si el beneficiario desiste, si concluye el plan de pagos acordado, o si vence el plazo previsto en el artículo 13° sin haberse alcanzado acuerdo y el beneficiario no inicia el proceso judicial del CPC.</w:t>
      </w:r>
    </w:p>
    <w:p w:rsidR="00000000" w:rsidDel="00000000" w:rsidP="00000000" w:rsidRDefault="00000000" w:rsidRPr="00000000" w14:paraId="0000001B">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8°. – </w:t>
      </w:r>
      <w:r w:rsidDel="00000000" w:rsidR="00000000" w:rsidRPr="00000000">
        <w:rPr>
          <w:rFonts w:ascii="Times New Roman" w:cs="Times New Roman" w:eastAsia="Times New Roman" w:hAnsi="Times New Roman"/>
          <w:sz w:val="24"/>
          <w:szCs w:val="24"/>
          <w:rtl w:val="0"/>
        </w:rPr>
        <w:t xml:space="preserve">Límite permanente de descuentos sobre el haber. Con independencia del presente régimen, el Estado Provincial no practicará ni autorizará descuentos directos sobre el haber o transferencia de sus agentes y beneficiarios del Plan de Inclusión Social que, sumados a todos los descuentos vigentes, superen el treinta por ciento (30%) del ingreso neto mensual. Este límite es de orden público provincial y su incumplimiento por los organismos pagadores configura irregularidad administrativa.</w:t>
      </w:r>
    </w:p>
    <w:p w:rsidR="00000000" w:rsidDel="00000000" w:rsidP="00000000" w:rsidRDefault="00000000" w:rsidRPr="00000000" w14:paraId="0000001C">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9°. – </w:t>
      </w:r>
      <w:r w:rsidDel="00000000" w:rsidR="00000000" w:rsidRPr="00000000">
        <w:rPr>
          <w:rFonts w:ascii="Times New Roman" w:cs="Times New Roman" w:eastAsia="Times New Roman" w:hAnsi="Times New Roman"/>
          <w:sz w:val="24"/>
          <w:szCs w:val="24"/>
          <w:rtl w:val="0"/>
        </w:rPr>
        <w:t xml:space="preserve">Notificación a acreedores. Dentro de las cuarenta y ocho (48) horas hábiles de admitida la solicitud, la Autoridad de Aplicación notificará fehacientemente a cada acreedor declarado: (a) la apertura del procedimiento y la identidad del beneficiario; (b) la suspensión de descuentos sobre haberes provinciales dispuesta en el artículo 7°; y (c) la invitación a participar voluntariamente en la mediación extrajudicial del Título III. La notificación es informativa y no produce efectos sobre procesos judiciales en curso en ninguna jurisdicción.</w:t>
      </w:r>
    </w:p>
    <w:p w:rsidR="00000000" w:rsidDel="00000000" w:rsidP="00000000" w:rsidRDefault="00000000" w:rsidRPr="00000000" w14:paraId="0000001D">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40" w:before="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TÍTULO III - MEDIACIÓN EXTRAJUDICIAL</w:t>
      </w:r>
      <w:r w:rsidDel="00000000" w:rsidR="00000000" w:rsidRPr="00000000">
        <w:rPr>
          <w:rtl w:val="0"/>
        </w:rPr>
      </w:r>
    </w:p>
    <w:p w:rsidR="00000000" w:rsidDel="00000000" w:rsidP="00000000" w:rsidRDefault="00000000" w:rsidRPr="00000000" w14:paraId="0000001F">
      <w:pPr>
        <w:spacing w:after="40" w:before="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10°. – </w:t>
      </w:r>
      <w:r w:rsidDel="00000000" w:rsidR="00000000" w:rsidRPr="00000000">
        <w:rPr>
          <w:rFonts w:ascii="Times New Roman" w:cs="Times New Roman" w:eastAsia="Times New Roman" w:hAnsi="Times New Roman"/>
          <w:sz w:val="24"/>
          <w:szCs w:val="24"/>
          <w:rtl w:val="0"/>
        </w:rPr>
        <w:t xml:space="preserve">Mediación extrajudicial ante los Centros existentes. Admitida la solicitud, la Autoridad de Aplicación remitirá las actuaciones al Centro de Mediación Judicial y Extrajudicial de la circunscripción correspondiente al domicilio del beneficiario, creado por la Ley N° IV-0700-2009 y reglamentado por el Acuerdo N° 307/2011 del Superior Tribunal de Justicia. El procedimiento de mediación se regirá íntegramente por la Ley N° IV-0700-2009, sus decretos reglamentarios y acuerdos del Superior Tribunal, sin modificación alguna de esas normas.</w:t>
      </w:r>
    </w:p>
    <w:p w:rsidR="00000000" w:rsidDel="00000000" w:rsidP="00000000" w:rsidRDefault="00000000" w:rsidRPr="00000000" w14:paraId="00000021">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11°. – </w:t>
      </w:r>
      <w:r w:rsidDel="00000000" w:rsidR="00000000" w:rsidRPr="00000000">
        <w:rPr>
          <w:rFonts w:ascii="Times New Roman" w:cs="Times New Roman" w:eastAsia="Times New Roman" w:hAnsi="Times New Roman"/>
          <w:sz w:val="24"/>
          <w:szCs w:val="24"/>
          <w:rtl w:val="0"/>
        </w:rPr>
        <w:t xml:space="preserve">Mediación obligatoria para el beneficiario. El tránsito por la instancia de mediación es obligatorio para el beneficiario como condición para acceder a las herramientas del Título IV. La participación de los acreedores es voluntaria. Su incomparecencia injustificada, una vez debidamente notificados, podrá ser invocada por el beneficiario en cualquier proceso judicial posterior ante tribunales provinciales de San Luis, conforme las reglas de conducta procesal del Código Procesal Civil y Comercial de la Provincia.</w:t>
      </w:r>
    </w:p>
    <w:p w:rsidR="00000000" w:rsidDel="00000000" w:rsidP="00000000" w:rsidRDefault="00000000" w:rsidRPr="00000000" w14:paraId="00000022">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12°. – </w:t>
      </w:r>
      <w:r w:rsidDel="00000000" w:rsidR="00000000" w:rsidRPr="00000000">
        <w:rPr>
          <w:rFonts w:ascii="Times New Roman" w:cs="Times New Roman" w:eastAsia="Times New Roman" w:hAnsi="Times New Roman"/>
          <w:sz w:val="24"/>
          <w:szCs w:val="24"/>
          <w:rtl w:val="0"/>
        </w:rPr>
        <w:t xml:space="preserve">Gratuidad. La mediación es gratuita para los beneficiarios cuyo ingreso bruto sea igual o inferior a cuatro (4) Salarios Mínimos Vitales y Móviles, conforme el mecanismo de acceso gratuito ya previsto en la Ley N° IV-0700-2009 y sus acuerdos reglamentarios.</w:t>
      </w:r>
    </w:p>
    <w:p w:rsidR="00000000" w:rsidDel="00000000" w:rsidP="00000000" w:rsidRDefault="00000000" w:rsidRPr="00000000" w14:paraId="00000023">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13°. – </w:t>
      </w:r>
      <w:r w:rsidDel="00000000" w:rsidR="00000000" w:rsidRPr="00000000">
        <w:rPr>
          <w:rFonts w:ascii="Times New Roman" w:cs="Times New Roman" w:eastAsia="Times New Roman" w:hAnsi="Times New Roman"/>
          <w:sz w:val="24"/>
          <w:szCs w:val="24"/>
          <w:rtl w:val="0"/>
        </w:rPr>
        <w:t xml:space="preserve">Plazos. El plazo total de la instancia de mediación no excederá los noventa (90) días corridos desde la remisión al Centro, prorrogables por acuerdo de todas las partes por hasta treinta (30) días adicionales. Vencido este plazo, el Centro extenderá el acta de resultado acuerdo o fracaso.</w:t>
      </w:r>
    </w:p>
    <w:p w:rsidR="00000000" w:rsidDel="00000000" w:rsidP="00000000" w:rsidRDefault="00000000" w:rsidRPr="00000000" w14:paraId="00000024">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14°. – </w:t>
      </w:r>
      <w:r w:rsidDel="00000000" w:rsidR="00000000" w:rsidRPr="00000000">
        <w:rPr>
          <w:rFonts w:ascii="Times New Roman" w:cs="Times New Roman" w:eastAsia="Times New Roman" w:hAnsi="Times New Roman"/>
          <w:sz w:val="24"/>
          <w:szCs w:val="24"/>
          <w:rtl w:val="0"/>
        </w:rPr>
        <w:t xml:space="preserve">Acuerdo de mediación: contenido y efectos. El acuerdo alcanzado en mediación entre el beneficiario y sus acreedores es un contrato privado entre partes que podrá incluir: (a) plan de pagos con cuotas deducibles del haber provincial en los términos acordados; (b) quita, espera, refinanciación o cualquier otra modalidad que las partes convengan; y (c) renuncia a acciones judiciales pendientes o compromiso de no iniciarlas, si así se pacta. El acuerdo podrá ser homologado judicialmente a petición de cualquiera de las partes, conforme el artículo 3° inciso a) de la Ley N° IV-0700-2009 y las reglas de homologación del Código Procesal Civil y Comercial, adquiriendo en ese caso autoridad de cosa juzgada y fuerza ejecutiva.</w:t>
      </w:r>
    </w:p>
    <w:p w:rsidR="00000000" w:rsidDel="00000000" w:rsidP="00000000" w:rsidRDefault="00000000" w:rsidRPr="00000000" w14:paraId="00000025">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15°. – </w:t>
      </w:r>
      <w:r w:rsidDel="00000000" w:rsidR="00000000" w:rsidRPr="00000000">
        <w:rPr>
          <w:rFonts w:ascii="Times New Roman" w:cs="Times New Roman" w:eastAsia="Times New Roman" w:hAnsi="Times New Roman"/>
          <w:sz w:val="24"/>
          <w:szCs w:val="24"/>
          <w:rtl w:val="0"/>
        </w:rPr>
        <w:t xml:space="preserve">Efectos del acuerdo sobre los descuentos provinciales. Suscripto el acuerdo de mediación, el Estado Provincial instrumentará los descuentos sobre el haber conforme las condiciones acordadas, en reemplazo de los suspendidos conforme el artículo 7°. La Autoridad de Aplicación comunicará a la Dirección de Liquidaciones de Haberes o al organismo pagador del Plan los nuevos parámetros de descuento dentro de los cinco (5) días hábiles de suscripto el acuerdo.</w:t>
      </w:r>
    </w:p>
    <w:p w:rsidR="00000000" w:rsidDel="00000000" w:rsidP="00000000" w:rsidRDefault="00000000" w:rsidRPr="00000000" w14:paraId="00000026">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16°. – </w:t>
      </w:r>
      <w:r w:rsidDel="00000000" w:rsidR="00000000" w:rsidRPr="00000000">
        <w:rPr>
          <w:rFonts w:ascii="Times New Roman" w:cs="Times New Roman" w:eastAsia="Times New Roman" w:hAnsi="Times New Roman"/>
          <w:sz w:val="24"/>
          <w:szCs w:val="24"/>
          <w:rtl w:val="0"/>
        </w:rPr>
        <w:t xml:space="preserve">Fracaso de la mediación. Si vencido el plazo del artículo 13° no se alcanza acuerdo, el Centro de Mediación extenderá el acta de fracaso. Con dicho documento el beneficiario podrá: (a) iniciar las acciones judiciales que le correspondan conforme el Código Procesal Civil y Comercial de la Provincia, presentando el acta de fracaso como acreditación del cumplimiento del requisito extrajudicial previo; o (b) desistir del procedimiento, en cuyo caso la Provincia restablecerá los descuentos suspendidos conforme el artículo 7° y los acreedores recuperarán la integridad de sus acciones.</w:t>
      </w:r>
    </w:p>
    <w:p w:rsidR="00000000" w:rsidDel="00000000" w:rsidP="00000000" w:rsidRDefault="00000000" w:rsidRPr="00000000" w14:paraId="00000027">
      <w:pPr>
        <w:spacing w:after="60" w:before="60" w:line="276" w:lineRule="auto"/>
        <w:ind w:left="4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40" w:before="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TÍTULO IV - EFECTOS DEL CUMPLIMIENTO Y REHABILITACIÓN</w:t>
      </w:r>
      <w:r w:rsidDel="00000000" w:rsidR="00000000" w:rsidRPr="00000000">
        <w:rPr>
          <w:rtl w:val="0"/>
        </w:rPr>
      </w:r>
    </w:p>
    <w:p w:rsidR="00000000" w:rsidDel="00000000" w:rsidP="00000000" w:rsidRDefault="00000000" w:rsidRPr="00000000" w14:paraId="00000029">
      <w:pPr>
        <w:spacing w:after="40" w:before="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17°. – </w:t>
      </w:r>
      <w:r w:rsidDel="00000000" w:rsidR="00000000" w:rsidRPr="00000000">
        <w:rPr>
          <w:rFonts w:ascii="Times New Roman" w:cs="Times New Roman" w:eastAsia="Times New Roman" w:hAnsi="Times New Roman"/>
          <w:sz w:val="24"/>
          <w:szCs w:val="24"/>
          <w:rtl w:val="0"/>
        </w:rPr>
        <w:t xml:space="preserve">Efectos del cumplimiento del acuerdo. Cumplido íntegramente el acuerdo de mediación o el plan de pagos que se hubiere establecido, la Autoridad de Aplicación extenderá una certificación de cumplimiento que producirá los siguientes efectos dentro del ámbito provincial:</w:t>
      </w:r>
    </w:p>
    <w:p w:rsidR="00000000" w:rsidDel="00000000" w:rsidP="00000000" w:rsidRDefault="00000000" w:rsidRPr="00000000" w14:paraId="0000002B">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Levantamiento definitivo de los descuentos sobre haberes provinciales correspondientes a las deudas incluidas en el acuerdo.</w:t>
      </w:r>
    </w:p>
    <w:p w:rsidR="00000000" w:rsidDel="00000000" w:rsidP="00000000" w:rsidRDefault="00000000" w:rsidRPr="00000000" w14:paraId="0000002C">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Actualización de los registros de deudores del ámbito provincial: los organismos provinciales que gestionen registros crediticios reflejarán el cumplimiento dentro de los treinta (30) días de la certificación.</w:t>
      </w:r>
    </w:p>
    <w:p w:rsidR="00000000" w:rsidDel="00000000" w:rsidP="00000000" w:rsidRDefault="00000000" w:rsidRPr="00000000" w14:paraId="0000002D">
      <w:pPr>
        <w:spacing w:after="40" w:before="40" w:line="276" w:lineRule="auto"/>
        <w:ind w:left="5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Gestión ante el Banco Central de la República Argentina de la comunicación del cumplimiento, a efectos del historial crediticio nacional, conforme la normativa vigente.</w:t>
      </w:r>
    </w:p>
    <w:p w:rsidR="00000000" w:rsidDel="00000000" w:rsidP="00000000" w:rsidRDefault="00000000" w:rsidRPr="00000000" w14:paraId="0000002E">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18°. – </w:t>
      </w:r>
      <w:r w:rsidDel="00000000" w:rsidR="00000000" w:rsidRPr="00000000">
        <w:rPr>
          <w:rFonts w:ascii="Times New Roman" w:cs="Times New Roman" w:eastAsia="Times New Roman" w:hAnsi="Times New Roman"/>
          <w:sz w:val="24"/>
          <w:szCs w:val="24"/>
          <w:rtl w:val="0"/>
        </w:rPr>
        <w:t xml:space="preserve">Prohibición de discriminación. Ningún organismo, repartición o ente del Estado Provincial podrá fundar la no renovación de contratos, el pase a disponibilidad, la suspensión de programas sociales provinciales ni ninguna medida desfavorable en el acogimiento al presente régimen. La violación configura falta grave del funcionario responsable, con independencia de otras responsabilidades que correspondan.</w:t>
      </w:r>
    </w:p>
    <w:p w:rsidR="00000000" w:rsidDel="00000000" w:rsidP="00000000" w:rsidRDefault="00000000" w:rsidRPr="00000000" w14:paraId="0000002F">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19°. – </w:t>
      </w:r>
      <w:r w:rsidDel="00000000" w:rsidR="00000000" w:rsidRPr="00000000">
        <w:rPr>
          <w:rFonts w:ascii="Times New Roman" w:cs="Times New Roman" w:eastAsia="Times New Roman" w:hAnsi="Times New Roman"/>
          <w:sz w:val="24"/>
          <w:szCs w:val="24"/>
          <w:rtl w:val="0"/>
        </w:rPr>
        <w:t xml:space="preserve">Límite temporal. El beneficiario que haya completado el régimen no podrá acogerse nuevamente antes de transcurridos cinco (5) años desde la certificación de cumplimiento.</w:t>
      </w:r>
    </w:p>
    <w:p w:rsidR="00000000" w:rsidDel="00000000" w:rsidP="00000000" w:rsidRDefault="00000000" w:rsidRPr="00000000" w14:paraId="00000030">
      <w:pPr>
        <w:spacing w:after="40" w:before="4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after="40" w:before="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TÍTULO V - REGULACIÓN DE OPERADORES DE DESCUENTOS SOBRE HABERES</w:t>
      </w:r>
      <w:r w:rsidDel="00000000" w:rsidR="00000000" w:rsidRPr="00000000">
        <w:rPr>
          <w:rtl w:val="0"/>
        </w:rPr>
      </w:r>
    </w:p>
    <w:p w:rsidR="00000000" w:rsidDel="00000000" w:rsidP="00000000" w:rsidRDefault="00000000" w:rsidRPr="00000000" w14:paraId="00000032">
      <w:pPr>
        <w:spacing w:after="40" w:before="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20°. – </w:t>
      </w:r>
      <w:r w:rsidDel="00000000" w:rsidR="00000000" w:rsidRPr="00000000">
        <w:rPr>
          <w:rFonts w:ascii="Times New Roman" w:cs="Times New Roman" w:eastAsia="Times New Roman" w:hAnsi="Times New Roman"/>
          <w:sz w:val="24"/>
          <w:szCs w:val="24"/>
          <w:rtl w:val="0"/>
        </w:rPr>
        <w:t xml:space="preserve">Requisitos para operar descuentos sobre haberes provinciales. Como condición para obtener o mantener convenio con el Estado Provincial que habilite descuentos directos sobre haberes o sobre transferencias del Plan de Inclusión Social, los operadores deberán: (a) informar al beneficiario el Costo Financiero Total (CFT) en tasa nominal anual y en monto absoluto total antes de la firma; (b) acreditar que la cuota mensual no supera el porcentaje del ingreso neto compatible con el límite del artículo 8°; y (c) obtener la conformidad expresa e informada del beneficiario cuando la acumulación de descuentos alcance el umbral de advertencia que fije la reglamentación.</w:t>
      </w:r>
    </w:p>
    <w:p w:rsidR="00000000" w:rsidDel="00000000" w:rsidP="00000000" w:rsidRDefault="00000000" w:rsidRPr="00000000" w14:paraId="00000034">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21°. – </w:t>
      </w:r>
      <w:r w:rsidDel="00000000" w:rsidR="00000000" w:rsidRPr="00000000">
        <w:rPr>
          <w:rFonts w:ascii="Times New Roman" w:cs="Times New Roman" w:eastAsia="Times New Roman" w:hAnsi="Times New Roman"/>
          <w:sz w:val="24"/>
          <w:szCs w:val="24"/>
          <w:rtl w:val="0"/>
        </w:rPr>
        <w:t xml:space="preserve">Consecuencias del incumplimiento. El operador que incumpla los requisitos del artículo 20°: (a) perderá el acceso al mecanismo de descuento sobre haberes provinciales por el período que establezca la reglamentación; y (b) será postergado en el orden de distribución del plan acordado en mediación respecto de los acreedores que sí cumplieron los requisitos. Esta sanción es exclusivamente administrativa y opera dentro de la relación entre el operador y el Estado Provincial.</w:t>
      </w:r>
    </w:p>
    <w:p w:rsidR="00000000" w:rsidDel="00000000" w:rsidP="00000000" w:rsidRDefault="00000000" w:rsidRPr="00000000" w14:paraId="00000035">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22°. – </w:t>
      </w:r>
      <w:r w:rsidDel="00000000" w:rsidR="00000000" w:rsidRPr="00000000">
        <w:rPr>
          <w:rFonts w:ascii="Times New Roman" w:cs="Times New Roman" w:eastAsia="Times New Roman" w:hAnsi="Times New Roman"/>
          <w:sz w:val="24"/>
          <w:szCs w:val="24"/>
          <w:rtl w:val="0"/>
        </w:rPr>
        <w:t xml:space="preserve">Revisión de convenios vigentes. El Poder Ejecutivo revisará, dentro de los ciento ochenta (180) días de promulgada la presente ley, todos los convenios vigentes con entidades operadoras de descuentos sobre haberes provinciales y del Plan de Inclusión Social, adecuándolos a los límites de esta norma.</w:t>
      </w:r>
    </w:p>
    <w:p w:rsidR="00000000" w:rsidDel="00000000" w:rsidP="00000000" w:rsidRDefault="00000000" w:rsidRPr="00000000" w14:paraId="00000036">
      <w:pPr>
        <w:spacing w:after="40" w:before="4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after="40" w:before="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TÍTULO VI - DISPOSICIONES FINALES</w:t>
      </w:r>
      <w:r w:rsidDel="00000000" w:rsidR="00000000" w:rsidRPr="00000000">
        <w:rPr>
          <w:rtl w:val="0"/>
        </w:rPr>
      </w:r>
    </w:p>
    <w:p w:rsidR="00000000" w:rsidDel="00000000" w:rsidP="00000000" w:rsidRDefault="00000000" w:rsidRPr="00000000" w14:paraId="00000038">
      <w:pPr>
        <w:spacing w:after="40" w:before="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23°. – </w:t>
      </w:r>
      <w:r w:rsidDel="00000000" w:rsidR="00000000" w:rsidRPr="00000000">
        <w:rPr>
          <w:rFonts w:ascii="Times New Roman" w:cs="Times New Roman" w:eastAsia="Times New Roman" w:hAnsi="Times New Roman"/>
          <w:sz w:val="24"/>
          <w:szCs w:val="24"/>
          <w:rtl w:val="0"/>
        </w:rPr>
        <w:t xml:space="preserve">Articulación con el sistema de mediación provincial. La Autoridad de Aplicación celebrará convenio con el Superior Tribunal de Justicia para la utilización de los Centros de Mediación Judicial y Extrajudicial conforme la Ley N° IV-0700-2009, garantizando la cobertura territorial por circunscripción judicial y la gratuidad prevista en el artículo 12°.</w:t>
      </w:r>
    </w:p>
    <w:p w:rsidR="00000000" w:rsidDel="00000000" w:rsidP="00000000" w:rsidRDefault="00000000" w:rsidRPr="00000000" w14:paraId="0000003A">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24°. – </w:t>
      </w:r>
      <w:r w:rsidDel="00000000" w:rsidR="00000000" w:rsidRPr="00000000">
        <w:rPr>
          <w:rFonts w:ascii="Times New Roman" w:cs="Times New Roman" w:eastAsia="Times New Roman" w:hAnsi="Times New Roman"/>
          <w:sz w:val="24"/>
          <w:szCs w:val="24"/>
          <w:rtl w:val="0"/>
        </w:rPr>
        <w:t xml:space="preserve">Articulación con los organismos pagadores. La Autoridad de Aplicación celebrará convenios con la Dirección de Liquidaciones de Haberes del Estado Provincial y con el organismo pagador del Plan de Inclusión Social para la instrumentación operativa de los artículos 7°, 8° y 15°.</w:t>
      </w:r>
    </w:p>
    <w:p w:rsidR="00000000" w:rsidDel="00000000" w:rsidP="00000000" w:rsidRDefault="00000000" w:rsidRPr="00000000" w14:paraId="0000003B">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25°. – </w:t>
      </w:r>
      <w:r w:rsidDel="00000000" w:rsidR="00000000" w:rsidRPr="00000000">
        <w:rPr>
          <w:rFonts w:ascii="Times New Roman" w:cs="Times New Roman" w:eastAsia="Times New Roman" w:hAnsi="Times New Roman"/>
          <w:sz w:val="24"/>
          <w:szCs w:val="24"/>
          <w:rtl w:val="0"/>
        </w:rPr>
        <w:t xml:space="preserve">Protocolo interministerial. El Ministerio de Hacienda e Infraestructura Pública y el Ministerio de Desarrollo Humano suscribirán, dentro del plazo de reglamentación, un protocolo de coordinación para la aplicación uniforme del régimen en cada categoría de beneficiarios.</w:t>
      </w:r>
    </w:p>
    <w:p w:rsidR="00000000" w:rsidDel="00000000" w:rsidP="00000000" w:rsidRDefault="00000000" w:rsidRPr="00000000" w14:paraId="0000003C">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26°. – </w:t>
      </w:r>
      <w:r w:rsidDel="00000000" w:rsidR="00000000" w:rsidRPr="00000000">
        <w:rPr>
          <w:rFonts w:ascii="Times New Roman" w:cs="Times New Roman" w:eastAsia="Times New Roman" w:hAnsi="Times New Roman"/>
          <w:sz w:val="24"/>
          <w:szCs w:val="24"/>
          <w:rtl w:val="0"/>
        </w:rPr>
        <w:t xml:space="preserve">Reglamentación. El Poder Ejecutivo reglamentará la presente ley dentro de los treinta (30) días corridos de su promulgación. La reglamentación establecerá los formularios, el sistema digital de presentación, los criterios de gratuidad y los umbrales de advertencia previstos en el artículo 20°.</w:t>
      </w:r>
    </w:p>
    <w:p w:rsidR="00000000" w:rsidDel="00000000" w:rsidP="00000000" w:rsidRDefault="00000000" w:rsidRPr="00000000" w14:paraId="0000003D">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27°. – </w:t>
      </w:r>
      <w:r w:rsidDel="00000000" w:rsidR="00000000" w:rsidRPr="00000000">
        <w:rPr>
          <w:rFonts w:ascii="Times New Roman" w:cs="Times New Roman" w:eastAsia="Times New Roman" w:hAnsi="Times New Roman"/>
          <w:sz w:val="24"/>
          <w:szCs w:val="24"/>
          <w:rtl w:val="0"/>
        </w:rPr>
        <w:t xml:space="preserve">Aplicación supletoria. En todo lo no previsto, se aplicarán supletoriamente la Ley N° IV-0700-2009 de Mediación Judicial y Extrajudicial y el Código Procesal Civil y Comercial de la Provincia (Ley N° VI-0150-2013).</w:t>
      </w:r>
    </w:p>
    <w:p w:rsidR="00000000" w:rsidDel="00000000" w:rsidP="00000000" w:rsidRDefault="00000000" w:rsidRPr="00000000" w14:paraId="0000003E">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28°. – </w:t>
      </w:r>
      <w:r w:rsidDel="00000000" w:rsidR="00000000" w:rsidRPr="00000000">
        <w:rPr>
          <w:rFonts w:ascii="Times New Roman" w:cs="Times New Roman" w:eastAsia="Times New Roman" w:hAnsi="Times New Roman"/>
          <w:sz w:val="24"/>
          <w:szCs w:val="24"/>
          <w:rtl w:val="0"/>
        </w:rPr>
        <w:t xml:space="preserve">Vigencia. La presente ley entrará en vigencia a los treinta (30) días corridos de su promulgación.</w:t>
      </w:r>
    </w:p>
    <w:p w:rsidR="00000000" w:rsidDel="00000000" w:rsidP="00000000" w:rsidRDefault="00000000" w:rsidRPr="00000000" w14:paraId="0000003F">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ARTÍCULO 29°. – </w:t>
      </w:r>
      <w:r w:rsidDel="00000000" w:rsidR="00000000" w:rsidRPr="00000000">
        <w:rPr>
          <w:rFonts w:ascii="Times New Roman" w:cs="Times New Roman" w:eastAsia="Times New Roman" w:hAnsi="Times New Roman"/>
          <w:sz w:val="24"/>
          <w:szCs w:val="24"/>
          <w:rtl w:val="0"/>
        </w:rPr>
        <w:t xml:space="preserve">De forma. Comuníquese al Poder Ejecutivo.</w:t>
      </w:r>
    </w:p>
    <w:p w:rsidR="00000000" w:rsidDel="00000000" w:rsidP="00000000" w:rsidRDefault="00000000" w:rsidRPr="00000000" w14:paraId="00000040">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60" w:before="16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spacing w:after="60" w:before="16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FUNDAMENTOS</w:t>
      </w:r>
    </w:p>
    <w:p w:rsidR="00000000" w:rsidDel="00000000" w:rsidP="00000000" w:rsidRDefault="00000000" w:rsidRPr="00000000" w14:paraId="00000052">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Argentina atraviesa desde 2024 un proceso de deterioro sostenido del poder adquisitivo del salario. Los sucesivos ciclos inflacionarios, la caída real de los ingresos y la contracción del crédito formal empujaron a millones de familias a recurrir al endeudamiento para cubrir gastos básicos alimentos, medicamentos, servicios. El empleo público no quedó al margen de ese proceso. Por el contrario, la estabilidad del cargo y la certeza del cobro mensual convirtieron al agente estatal en el sujeto de crédito preferido de entidades financieras, cooperativas, mutuales y operadores de todo tipo que acceden directamente al haber a través del mecanismo de descuento automático. El resultado es una dinámica conocida y documentada: el empleado público contrae deuda sobre deuda hasta que el porcentaje de su sueldo que efectivamente percibe se reduce a una fracción que no alcanza para sostener su vida cotidiana. En abril de 2026, la Asociación de Trabajadores del Estado de San Luis anuncio que presentaría al Gobernador un plan de desendeudamiento advirtiendo que más del cincuenta por ciento del ingreso de gran parte de los agentes estatales provinciales se destina al pago de deudas, y que la situación amenaza la cobertura de la canasta básica. Esa advertencia gremial es el punto de partida del presente proyecto.</w:t>
      </w:r>
    </w:p>
    <w:p w:rsidR="00000000" w:rsidDel="00000000" w:rsidP="00000000" w:rsidRDefault="00000000" w:rsidRPr="00000000" w14:paraId="00000054">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fin principal de esta ley es darle al empleado público y al beneficiario del Plan de Inclusión Social una salida real de ese círculo: no un alivio transitorio ni una refinanciación con otra tasa, sino un procedimiento que detenga la sangría del haber, abra un espacio de negociación genuina con los acreedores y permita llegar a un acuerdo sostenible sin necesidad de iniciar un juicio. El destinatario central de esta ley es el agente que trabaja pero que, al cobrar el sueldo, percibe apenas una parte de lo que se le depositó; el que no puede pagar el alquiler ni comprar los remedios porque los descuentos automáticos consumen lo que ganó. La protección de ese trabajador, dentro de las herramientas que la Provincia tiene a su alcance, es el propósito central de estas normas.</w:t>
      </w:r>
    </w:p>
    <w:p w:rsidR="00000000" w:rsidDel="00000000" w:rsidP="00000000" w:rsidRDefault="00000000" w:rsidRPr="00000000" w14:paraId="00000055">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primera y más eficaz herramienta del régimen es la suspensión inmediata de los descuentos directos sobre el haber provincial desde que el agente se acoge al procedimiento. No se requiere proceso judicial ni reforma del derecho de fondo nacional: es una decisión que el Estado toma sobre sus propias liquidaciones, en ejercicio de su competencia como empleador. Al suspender ese mecanismo, el acreedor pierde su principal garantía de cobro automático y queda ante una elección concreta: negociar en la mediación o iniciar por su cuenta un proceso judicial cuyo costo y demora suelen superar el valor de la deuda. La experiencia indica que cuando el descuento automático deja de operar, la mayoría prefiere sentarse a negociar. Eso es exactamente lo que esta ley busca. A esta medida se suma el límite permanente del treinta por ciento sobre el total de descuentos que el Estado autoriza sobre sus propios haberes: si ninguna retención puede superar ese umbral, el sobreendeudamiento crónico instrumentado a través del haber queda interrumpido desde el origen, antes de que el daño se produzca.</w:t>
      </w:r>
    </w:p>
    <w:p w:rsidR="00000000" w:rsidDel="00000000" w:rsidP="00000000" w:rsidRDefault="00000000" w:rsidRPr="00000000" w14:paraId="00000056">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canal de negociación elegido son los Centros de Mediación Judicial y Extrajudicial que la Provincia ya tiene en pleno funcionamiento. La Ley N° IV-0700-2009 los creó con cobertura en todas las circunscripciones judiciales del territorio provincial, con mediadores habilitados y reglamentación consolidada por el Acuerdo N° 307/2011 del Superior Tribunal de Justicia. Esa infraestructura existe, funciona y está infrautilizada para conflictos de consumo y endeudamiento familiar, que son precisamente el tipo de controversia que este régimen busca canalizar. El proyecto no crea ningún organismo nuevo ni destina presupuesto adicional: alcanza con formalizar mediante convenio entre la Autoridad de Aplicación y el Superior Tribunal que los casos del presente régimen ingresen al circuito de mediación ya operativo. Los Centros tienen mediadores capacitados, salas en las principales ciudades de la Provincia y éxito probado en la resolución de conflictos patrimoniales. En la mediación, el agente y sus acreedores negocian libremente: pueden acordar una quita, una espera, una refinanciación o cualquier otra modalidad que los satisfaga. Si llegan a un acuerdo, el Estado ajusta los descuentos a lo pactado. Si no llegan, el agente recibe el acta de fracaso que le sirve para acceder a los mecanismos del Código Procesal Civil, donde la mediación obligatoria previa en juicios ejecutivos y la conciliación en cualquier etapa del proceso ya están contempladas. El proyecto no regula la fase judicial porque no necesita hacerlo: el Código Procesal ya tiene todo lo que el juez civil necesita para intervenir.</w:t>
      </w:r>
    </w:p>
    <w:p w:rsidR="00000000" w:rsidDel="00000000" w:rsidP="00000000" w:rsidRDefault="00000000" w:rsidRPr="00000000" w14:paraId="00000057">
      <w:pPr>
        <w:spacing w:after="60" w:before="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proyecto actúa exclusivamente dentro de competencias provinciales indiscutibles y no pretende más de lo que puede dar. No suspende procesos judiciales en otras jurisdicciones ni modifica el derecho de fondo nacional eso es competencia del Congreso conforme el artículo 75 inciso 12 de la Constitución Nacional. Lo que hace es ejercer al máximo tres competencias que son exclusivamente provinciales: regula sus propias liquidaciones de haberes como empleadora, organiza el uso de sus propios Centros de Mediación como instancia previa a sus propios tribunales, y fija las condiciones bajo las cuales operadores privados acceden al mecanismo de descuento automático que ella misma administra. Dentro de esos límites, el régimen es sólido, aplicable y suficiente para producir el resultado que el trabajador necesita: recuperar su ingreso, negociar sus deudas y salir del círculo del sobreendeudamiento sin depender de un proceso judicial largo y costoso. Eso, que es la respuesta justa al drama cotidiano que ATE denominó urgente, es lo que esta ley se propone hacer.</w:t>
      </w:r>
    </w:p>
    <w:p w:rsidR="00000000" w:rsidDel="00000000" w:rsidP="00000000" w:rsidRDefault="00000000" w:rsidRPr="00000000" w14:paraId="00000058">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60" w:before="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60" w:before="4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Senador Hugo Omar Olguín. -</w:t>
      </w: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